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14" w:rsidRDefault="00B52014" w:rsidP="00B52014">
      <w:pPr>
        <w:widowControl/>
        <w:spacing w:line="375" w:lineRule="atLeast"/>
        <w:ind w:firstLine="420"/>
        <w:jc w:val="center"/>
        <w:rPr>
          <w:rFonts w:ascii="Arial" w:eastAsia="宋体" w:hAnsi="Arial" w:cs="Arial" w:hint="eastAsia"/>
          <w:color w:val="464646"/>
          <w:kern w:val="0"/>
          <w:szCs w:val="21"/>
        </w:rPr>
      </w:pPr>
      <w:r>
        <w:rPr>
          <w:rFonts w:ascii="微软雅黑" w:eastAsia="微软雅黑" w:hAnsi="微软雅黑" w:cs="Arial" w:hint="eastAsia"/>
          <w:b/>
          <w:bCs/>
          <w:color w:val="003863"/>
          <w:sz w:val="28"/>
          <w:szCs w:val="28"/>
        </w:rPr>
        <w:t>中国科学院大学研究生指导教师工作条例</w:t>
      </w:r>
    </w:p>
    <w:p w:rsidR="00B52014" w:rsidRPr="00B52014" w:rsidRDefault="00B52014" w:rsidP="00B52014">
      <w:pPr>
        <w:widowControl/>
        <w:spacing w:line="375" w:lineRule="atLeast"/>
        <w:ind w:firstLine="420"/>
        <w:jc w:val="center"/>
        <w:rPr>
          <w:rFonts w:ascii="Arial" w:eastAsia="宋体" w:hAnsi="Arial" w:cs="Arial"/>
          <w:color w:val="464646"/>
          <w:kern w:val="0"/>
          <w:szCs w:val="21"/>
        </w:rPr>
      </w:pPr>
      <w:r w:rsidRPr="00B52014">
        <w:rPr>
          <w:rFonts w:ascii="Arial" w:eastAsia="宋体" w:hAnsi="Arial" w:cs="Arial"/>
          <w:color w:val="464646"/>
          <w:kern w:val="0"/>
          <w:szCs w:val="21"/>
        </w:rPr>
        <w:t>第一章</w:t>
      </w:r>
      <w:r w:rsidRPr="00B52014">
        <w:rPr>
          <w:rFonts w:ascii="Arial" w:eastAsia="宋体" w:hAnsi="Arial" w:cs="Arial"/>
          <w:color w:val="464646"/>
          <w:kern w:val="0"/>
          <w:szCs w:val="21"/>
        </w:rPr>
        <w:t> </w:t>
      </w:r>
      <w:r w:rsidRPr="00B52014">
        <w:rPr>
          <w:rFonts w:ascii="Arial" w:eastAsia="宋体" w:hAnsi="Arial" w:cs="Arial"/>
          <w:color w:val="464646"/>
          <w:kern w:val="0"/>
          <w:szCs w:val="21"/>
        </w:rPr>
        <w:t>总则</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第一条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为了建设一支高素质的研究生指导教师（以下简称</w:t>
      </w:r>
      <w:r w:rsidRPr="00B52014">
        <w:rPr>
          <w:rFonts w:ascii="Arial" w:eastAsia="宋体" w:hAnsi="Arial" w:cs="Arial"/>
          <w:color w:val="464646"/>
          <w:kern w:val="0"/>
          <w:szCs w:val="21"/>
        </w:rPr>
        <w:t>“</w:t>
      </w:r>
      <w:r w:rsidRPr="00B52014">
        <w:rPr>
          <w:rFonts w:ascii="Arial" w:eastAsia="宋体" w:hAnsi="Arial" w:cs="Arial"/>
          <w:color w:val="464646"/>
          <w:kern w:val="0"/>
          <w:szCs w:val="21"/>
        </w:rPr>
        <w:t>导师</w:t>
      </w:r>
      <w:r w:rsidRPr="00B52014">
        <w:rPr>
          <w:rFonts w:ascii="Arial" w:eastAsia="宋体" w:hAnsi="Arial" w:cs="Arial"/>
          <w:color w:val="464646"/>
          <w:kern w:val="0"/>
          <w:szCs w:val="21"/>
        </w:rPr>
        <w:t>”</w:t>
      </w:r>
      <w:r w:rsidRPr="00B52014">
        <w:rPr>
          <w:rFonts w:ascii="Arial" w:eastAsia="宋体" w:hAnsi="Arial" w:cs="Arial"/>
          <w:color w:val="464646"/>
          <w:kern w:val="0"/>
          <w:szCs w:val="21"/>
        </w:rPr>
        <w:t>）队伍，提高研究生培养质量，根据国家和中国科学院的相关法规要求，中国科学院大学</w:t>
      </w:r>
      <w:r w:rsidRPr="00B52014">
        <w:rPr>
          <w:rFonts w:ascii="Arial" w:eastAsia="宋体" w:hAnsi="Arial" w:cs="Arial"/>
          <w:color w:val="464646"/>
          <w:kern w:val="0"/>
          <w:szCs w:val="21"/>
        </w:rPr>
        <w:t>(</w:t>
      </w:r>
      <w:r w:rsidRPr="00B52014">
        <w:rPr>
          <w:rFonts w:ascii="Arial" w:eastAsia="宋体" w:hAnsi="Arial" w:cs="Arial"/>
          <w:color w:val="464646"/>
          <w:kern w:val="0"/>
          <w:szCs w:val="21"/>
        </w:rPr>
        <w:t>以下简称</w:t>
      </w:r>
      <w:r w:rsidRPr="00B52014">
        <w:rPr>
          <w:rFonts w:ascii="Arial" w:eastAsia="宋体" w:hAnsi="Arial" w:cs="Arial"/>
          <w:color w:val="464646"/>
          <w:kern w:val="0"/>
          <w:szCs w:val="21"/>
        </w:rPr>
        <w:t>“</w:t>
      </w:r>
      <w:r w:rsidRPr="00B52014">
        <w:rPr>
          <w:rFonts w:ascii="Arial" w:eastAsia="宋体" w:hAnsi="Arial" w:cs="Arial"/>
          <w:color w:val="464646"/>
          <w:kern w:val="0"/>
          <w:szCs w:val="21"/>
        </w:rPr>
        <w:t>国科大</w:t>
      </w:r>
      <w:r w:rsidRPr="00B52014">
        <w:rPr>
          <w:rFonts w:ascii="Arial" w:eastAsia="宋体" w:hAnsi="Arial" w:cs="Arial"/>
          <w:color w:val="464646"/>
          <w:kern w:val="0"/>
          <w:szCs w:val="21"/>
        </w:rPr>
        <w:t>”)</w:t>
      </w:r>
      <w:r w:rsidRPr="00B52014">
        <w:rPr>
          <w:rFonts w:ascii="Arial" w:eastAsia="宋体" w:hAnsi="Arial" w:cs="Arial"/>
          <w:color w:val="464646"/>
          <w:kern w:val="0"/>
          <w:szCs w:val="21"/>
        </w:rPr>
        <w:t>特制定本条例。</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第二条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本条例适用于中国科学院所属各研究院、所、台、站、中心等单位（以下简称</w:t>
      </w:r>
      <w:r w:rsidRPr="00B52014">
        <w:rPr>
          <w:rFonts w:ascii="Arial" w:eastAsia="宋体" w:hAnsi="Arial" w:cs="Arial"/>
          <w:color w:val="464646"/>
          <w:kern w:val="0"/>
          <w:szCs w:val="21"/>
        </w:rPr>
        <w:t>“</w:t>
      </w:r>
      <w:r w:rsidRPr="00B52014">
        <w:rPr>
          <w:rFonts w:ascii="Arial" w:eastAsia="宋体" w:hAnsi="Arial" w:cs="Arial"/>
          <w:color w:val="464646"/>
          <w:kern w:val="0"/>
          <w:szCs w:val="21"/>
        </w:rPr>
        <w:t>研究所</w:t>
      </w:r>
      <w:r w:rsidRPr="00B52014">
        <w:rPr>
          <w:rFonts w:ascii="Arial" w:eastAsia="宋体" w:hAnsi="Arial" w:cs="Arial"/>
          <w:color w:val="464646"/>
          <w:kern w:val="0"/>
          <w:szCs w:val="21"/>
        </w:rPr>
        <w:t>”</w:t>
      </w:r>
      <w:r w:rsidRPr="00B52014">
        <w:rPr>
          <w:rFonts w:ascii="Arial" w:eastAsia="宋体" w:hAnsi="Arial" w:cs="Arial"/>
          <w:color w:val="464646"/>
          <w:kern w:val="0"/>
          <w:szCs w:val="21"/>
        </w:rPr>
        <w:t>）在国科大接受学位授予的研究生（以下简称</w:t>
      </w:r>
      <w:r w:rsidRPr="00B52014">
        <w:rPr>
          <w:rFonts w:ascii="Arial" w:eastAsia="宋体" w:hAnsi="Arial" w:cs="Arial"/>
          <w:color w:val="464646"/>
          <w:kern w:val="0"/>
          <w:szCs w:val="21"/>
        </w:rPr>
        <w:t>“</w:t>
      </w:r>
      <w:r w:rsidRPr="00B52014">
        <w:rPr>
          <w:rFonts w:ascii="Arial" w:eastAsia="宋体" w:hAnsi="Arial" w:cs="Arial"/>
          <w:color w:val="464646"/>
          <w:kern w:val="0"/>
          <w:szCs w:val="21"/>
        </w:rPr>
        <w:t>学生</w:t>
      </w:r>
      <w:r w:rsidRPr="00B52014">
        <w:rPr>
          <w:rFonts w:ascii="Arial" w:eastAsia="宋体" w:hAnsi="Arial" w:cs="Arial"/>
          <w:color w:val="464646"/>
          <w:kern w:val="0"/>
          <w:szCs w:val="21"/>
        </w:rPr>
        <w:t>”</w:t>
      </w:r>
      <w:r w:rsidRPr="00B52014">
        <w:rPr>
          <w:rFonts w:ascii="Arial" w:eastAsia="宋体" w:hAnsi="Arial" w:cs="Arial"/>
          <w:color w:val="464646"/>
          <w:kern w:val="0"/>
          <w:szCs w:val="21"/>
        </w:rPr>
        <w:t>）导师的遴选、聘任与管理。</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第三条</w:t>
      </w:r>
      <w:r w:rsidRPr="00B52014">
        <w:rPr>
          <w:rFonts w:ascii="Arial" w:eastAsia="宋体" w:hAnsi="Arial" w:cs="Arial"/>
          <w:color w:val="464646"/>
          <w:kern w:val="0"/>
          <w:szCs w:val="21"/>
        </w:rPr>
        <w:t xml:space="preserve">  </w:t>
      </w:r>
      <w:r w:rsidRPr="00B52014">
        <w:rPr>
          <w:rFonts w:ascii="Arial" w:eastAsia="宋体" w:hAnsi="Arial" w:cs="Arial"/>
          <w:color w:val="464646"/>
          <w:kern w:val="0"/>
          <w:szCs w:val="21"/>
        </w:rPr>
        <w:t>导师是培养研究生的重要工作岗位，承担紧密结合科研创新教书育人、培养德才兼备的高素质创新创业人才的使命。按照学生培养层次，导师岗位分为博士生导师和硕士生导师。</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第四条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国科大和各研究所应相互配合，着力加强导师队伍的师德建设和业务培训，保证导师履行职责的工作条件，保障导师的合法权益。各研究所应按照科研导向和任务导向的原则，切实实行导师岗位责任制，建立有效的动态管理机制。</w:t>
      </w:r>
    </w:p>
    <w:p w:rsidR="00B52014" w:rsidRPr="00B52014" w:rsidRDefault="00B52014" w:rsidP="00B52014">
      <w:pPr>
        <w:widowControl/>
        <w:spacing w:line="375" w:lineRule="atLeast"/>
        <w:ind w:firstLine="420"/>
        <w:jc w:val="center"/>
        <w:rPr>
          <w:rFonts w:ascii="Arial" w:eastAsia="宋体" w:hAnsi="Arial" w:cs="Arial"/>
          <w:color w:val="464646"/>
          <w:kern w:val="0"/>
          <w:szCs w:val="21"/>
        </w:rPr>
      </w:pPr>
      <w:r w:rsidRPr="00B52014">
        <w:rPr>
          <w:rFonts w:ascii="Arial" w:eastAsia="宋体" w:hAnsi="Arial" w:cs="Arial"/>
          <w:color w:val="464646"/>
          <w:kern w:val="0"/>
          <w:szCs w:val="21"/>
        </w:rPr>
        <w:t>第二章</w:t>
      </w:r>
      <w:r w:rsidRPr="00B52014">
        <w:rPr>
          <w:rFonts w:ascii="Arial" w:eastAsia="宋体" w:hAnsi="Arial" w:cs="Arial"/>
          <w:color w:val="464646"/>
          <w:kern w:val="0"/>
          <w:szCs w:val="21"/>
        </w:rPr>
        <w:t> </w:t>
      </w:r>
      <w:r w:rsidRPr="00B52014">
        <w:rPr>
          <w:rFonts w:ascii="Arial" w:eastAsia="宋体" w:hAnsi="Arial" w:cs="Arial"/>
          <w:color w:val="464646"/>
          <w:kern w:val="0"/>
          <w:szCs w:val="21"/>
        </w:rPr>
        <w:t>岗位职责</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第五条　遵守宪法、法律和职业道德，了解掌握并贯彻执行国家和国科大有关研究生招生、培养、学位和管理等方面的政策、规章和制度。</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第六条　为人师表，在学生的思想教育、科研道德等方面负有引导、示范和监督的责任；关心爱护全体学生，制止有害于学生或其他侵犯学生合法权益的行为，批评和抵制有害于学生健康成长的现象。</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第七条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参与制定本学科、专业的研究生培养方案，负责制定学生的个人培养计划，并督促、检查实施；参与研究生招生与生源选拔工作，承担研究生的教学任务，为研究生授课或举办专题讲座，编撰研究生教材。</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第八条　对学生培养全过程负有指导责任，应指导学生选课、确定论文选题和开展科学研究工作，并按规定为学生学习生活提供必要的支持和帮助。</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第九条　配合、协助研究生教育管理部门做好研究生的各项管理和阶段性考核工作，评定学生的品行和学业成绩，对不适合继续培养的学生，向所在研究所提出中止学习或其它处理意见。</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参加国科大或研究所组织的导师培训和教育工作研讨活动，探索和掌握研究生培养、管理的特点和规律，不断提升研究生的培养质量。对国科大和所在研究所的教育教学、管理工作和教育行政部门的工作提出意见和建议。</w:t>
      </w:r>
    </w:p>
    <w:p w:rsidR="00B52014" w:rsidRPr="00B52014" w:rsidRDefault="00B52014" w:rsidP="00B52014">
      <w:pPr>
        <w:widowControl/>
        <w:spacing w:line="375" w:lineRule="atLeast"/>
        <w:ind w:firstLine="420"/>
        <w:jc w:val="center"/>
        <w:rPr>
          <w:rFonts w:ascii="Arial" w:eastAsia="宋体" w:hAnsi="Arial" w:cs="Arial"/>
          <w:color w:val="464646"/>
          <w:kern w:val="0"/>
          <w:szCs w:val="21"/>
        </w:rPr>
      </w:pPr>
      <w:r w:rsidRPr="00B52014">
        <w:rPr>
          <w:rFonts w:ascii="Arial" w:eastAsia="宋体" w:hAnsi="Arial" w:cs="Arial"/>
          <w:color w:val="464646"/>
          <w:kern w:val="0"/>
          <w:szCs w:val="21"/>
        </w:rPr>
        <w:t>第三章</w:t>
      </w:r>
      <w:r w:rsidRPr="00B52014">
        <w:rPr>
          <w:rFonts w:ascii="Arial" w:eastAsia="宋体" w:hAnsi="Arial" w:cs="Arial"/>
          <w:color w:val="464646"/>
          <w:kern w:val="0"/>
          <w:szCs w:val="21"/>
        </w:rPr>
        <w:t> </w:t>
      </w:r>
      <w:r w:rsidRPr="00B52014">
        <w:rPr>
          <w:rFonts w:ascii="Arial" w:eastAsia="宋体" w:hAnsi="Arial" w:cs="Arial"/>
          <w:color w:val="464646"/>
          <w:kern w:val="0"/>
          <w:szCs w:val="21"/>
        </w:rPr>
        <w:t>岗位条件</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第十一条　凡遵守宪法和法律，热爱教育事业，品行端正，在本单位具有相应学位层次研究生培养权的学科专业范围内，具有较深学术造诣且有教育教学能力的科研和教学人员，按本条例经研究所认定合格的，可以取得导师上岗资格。</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第十二条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导师至少应满足如下上岗条件：</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lastRenderedPageBreak/>
        <w:t>（一）近年来科研成绩显著，取得了具有较高学术价值或社会效益、经济效益的科研成果；</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（二）目前从事较高水平的科研工作，承担着重要的科研项目，有较为充足的科研经费和必要的实验仪器设备，能够保证研究生培养需求；</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（三）身体健康，能在科研、教学第一线正常工作，每年能保证有半年以上的时间在国内指导研究生，</w:t>
      </w:r>
      <w:proofErr w:type="gramStart"/>
      <w:r w:rsidRPr="00B52014">
        <w:rPr>
          <w:rFonts w:ascii="Arial" w:eastAsia="宋体" w:hAnsi="Arial" w:cs="Arial"/>
          <w:color w:val="464646"/>
          <w:kern w:val="0"/>
          <w:szCs w:val="21"/>
        </w:rPr>
        <w:t>且指导</w:t>
      </w:r>
      <w:proofErr w:type="gramEnd"/>
      <w:r w:rsidRPr="00B52014">
        <w:rPr>
          <w:rFonts w:ascii="Arial" w:eastAsia="宋体" w:hAnsi="Arial" w:cs="Arial"/>
          <w:color w:val="464646"/>
          <w:kern w:val="0"/>
          <w:szCs w:val="21"/>
        </w:rPr>
        <w:t>研究生的总数不应过多；</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（四）国科大和所在研究所规定的其他条件。</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第十三条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博士生导师还应满足下列条件：</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（一）至少已完整培养出一届合格的硕士生，或有在国内外协助指导博士生的完整经历；</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（二）从事应用研究的，应有协助本人指导学生的学术梯队；</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（三）</w:t>
      </w:r>
      <w:r w:rsidRPr="00B52014">
        <w:rPr>
          <w:rFonts w:ascii="Arial" w:eastAsia="宋体" w:hAnsi="Arial" w:cs="Arial"/>
          <w:color w:val="464646"/>
          <w:kern w:val="0"/>
          <w:szCs w:val="21"/>
        </w:rPr>
        <w:t>1991</w:t>
      </w:r>
      <w:r w:rsidRPr="00B52014">
        <w:rPr>
          <w:rFonts w:ascii="Arial" w:eastAsia="宋体" w:hAnsi="Arial" w:cs="Arial"/>
          <w:color w:val="464646"/>
          <w:kern w:val="0"/>
          <w:szCs w:val="21"/>
        </w:rPr>
        <w:t>年以后参加工作的，应具有博士学位。</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第十四条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研究所应依据本条例，对不同层次导师岗位要求的科研项目、科研经费、科研成果和在读学生的上限数等具体规定，并报国科大备案。</w:t>
      </w:r>
    </w:p>
    <w:p w:rsidR="00B52014" w:rsidRPr="00B52014" w:rsidRDefault="00B52014" w:rsidP="00B52014">
      <w:pPr>
        <w:widowControl/>
        <w:spacing w:line="375" w:lineRule="atLeast"/>
        <w:ind w:firstLine="420"/>
        <w:jc w:val="center"/>
        <w:rPr>
          <w:rFonts w:ascii="Arial" w:eastAsia="宋体" w:hAnsi="Arial" w:cs="Arial"/>
          <w:color w:val="464646"/>
          <w:kern w:val="0"/>
          <w:szCs w:val="21"/>
        </w:rPr>
      </w:pPr>
      <w:r w:rsidRPr="00B52014">
        <w:rPr>
          <w:rFonts w:ascii="Arial" w:eastAsia="宋体" w:hAnsi="Arial" w:cs="Arial"/>
          <w:color w:val="464646"/>
          <w:kern w:val="0"/>
          <w:szCs w:val="21"/>
        </w:rPr>
        <w:t>第四章</w:t>
      </w:r>
      <w:r w:rsidRPr="00B52014">
        <w:rPr>
          <w:rFonts w:ascii="Arial" w:eastAsia="宋体" w:hAnsi="Arial" w:cs="Arial"/>
          <w:color w:val="464646"/>
          <w:kern w:val="0"/>
          <w:szCs w:val="21"/>
        </w:rPr>
        <w:t> </w:t>
      </w:r>
      <w:r w:rsidRPr="00B52014">
        <w:rPr>
          <w:rFonts w:ascii="Arial" w:eastAsia="宋体" w:hAnsi="Arial" w:cs="Arial"/>
          <w:color w:val="464646"/>
          <w:kern w:val="0"/>
          <w:szCs w:val="21"/>
        </w:rPr>
        <w:t>岗位聘任</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第十五条　研究所根据本单位已有学科专业培养点数量和研究生招生规模，设置招生的导师岗位，并具体组织实施导师岗位聘任工作。</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第十六条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首次申请招生的导师需通过教育业务管理平台，填写《中国科学院大学研究生指导教师资格申请表》。</w:t>
      </w:r>
      <w:r w:rsidRPr="00B52014">
        <w:rPr>
          <w:rFonts w:ascii="Arial" w:eastAsia="宋体" w:hAnsi="Arial" w:cs="Arial"/>
          <w:color w:val="464646"/>
          <w:kern w:val="0"/>
          <w:szCs w:val="21"/>
        </w:rPr>
        <w:br/>
      </w:r>
      <w:r w:rsidRPr="00B52014">
        <w:rPr>
          <w:rFonts w:ascii="Arial" w:eastAsia="宋体" w:hAnsi="Arial" w:cs="Arial"/>
          <w:color w:val="464646"/>
          <w:kern w:val="0"/>
          <w:szCs w:val="21"/>
        </w:rPr>
        <w:t>研究所学位评定委员会根据本单位的学科发展、岗位设置、导师条件，严格审核申请人的有关材料，对其学术水平及指导研究生的能力进行全面评议，采取无记名投票的方式表决，认定导师资格；已通过上岗资格认定的导师名单应采取适当的方式公示。</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第十七条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导师上岗招生审核工作每年进行一次。已有导师资格、申请继续招生的导师，在下一年度招生工作开始前，通过教育业务管理平台填写《中国科学院大学研究生指导教师</w:t>
      </w:r>
      <w:r w:rsidRPr="00B52014">
        <w:rPr>
          <w:rFonts w:ascii="Arial" w:eastAsia="宋体" w:hAnsi="Arial" w:cs="Arial"/>
          <w:color w:val="464646"/>
          <w:kern w:val="0"/>
          <w:szCs w:val="21"/>
        </w:rPr>
        <w:t>XX</w:t>
      </w:r>
      <w:r w:rsidRPr="00B52014">
        <w:rPr>
          <w:rFonts w:ascii="Arial" w:eastAsia="宋体" w:hAnsi="Arial" w:cs="Arial"/>
          <w:color w:val="464646"/>
          <w:kern w:val="0"/>
          <w:szCs w:val="21"/>
        </w:rPr>
        <w:t>年度招收研究生申请表》。</w:t>
      </w:r>
      <w:r w:rsidRPr="00B52014">
        <w:rPr>
          <w:rFonts w:ascii="Arial" w:eastAsia="宋体" w:hAnsi="Arial" w:cs="Arial"/>
          <w:color w:val="464646"/>
          <w:kern w:val="0"/>
          <w:szCs w:val="21"/>
        </w:rPr>
        <w:br/>
      </w:r>
      <w:r w:rsidRPr="00B52014">
        <w:rPr>
          <w:rFonts w:ascii="Arial" w:eastAsia="宋体" w:hAnsi="Arial" w:cs="Arial"/>
          <w:color w:val="464646"/>
          <w:kern w:val="0"/>
          <w:szCs w:val="21"/>
        </w:rPr>
        <w:t>研究所学位评定委员会根据岗位设置要求，着重对其目前承担的科研项目和研究经费、在学学生数以及是否有精力指导研究生等方面进行审核，通过后报国科大备案，方可招生。</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第十八条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导师一般在法定退休年龄前三年不再招收新生。新上岗的导师须参加导师上岗培训班，培训不合格者其导师资格应予重新审核聘任。</w:t>
      </w:r>
    </w:p>
    <w:p w:rsidR="00B52014" w:rsidRPr="00B52014" w:rsidRDefault="00B52014" w:rsidP="00B52014">
      <w:pPr>
        <w:widowControl/>
        <w:spacing w:line="375" w:lineRule="atLeast"/>
        <w:ind w:firstLine="420"/>
        <w:jc w:val="center"/>
        <w:rPr>
          <w:rFonts w:ascii="Arial" w:eastAsia="宋体" w:hAnsi="Arial" w:cs="Arial"/>
          <w:color w:val="464646"/>
          <w:kern w:val="0"/>
          <w:szCs w:val="21"/>
        </w:rPr>
      </w:pPr>
      <w:r w:rsidRPr="00B52014">
        <w:rPr>
          <w:rFonts w:ascii="Arial" w:eastAsia="宋体" w:hAnsi="Arial" w:cs="Arial"/>
          <w:color w:val="464646"/>
          <w:kern w:val="0"/>
          <w:szCs w:val="21"/>
        </w:rPr>
        <w:t>第五章</w:t>
      </w:r>
      <w:r w:rsidRPr="00B52014">
        <w:rPr>
          <w:rFonts w:ascii="Arial" w:eastAsia="宋体" w:hAnsi="Arial" w:cs="Arial"/>
          <w:color w:val="464646"/>
          <w:kern w:val="0"/>
          <w:szCs w:val="21"/>
        </w:rPr>
        <w:t> </w:t>
      </w:r>
      <w:r w:rsidRPr="00B52014">
        <w:rPr>
          <w:rFonts w:ascii="Arial" w:eastAsia="宋体" w:hAnsi="Arial" w:cs="Arial"/>
          <w:color w:val="464646"/>
          <w:kern w:val="0"/>
          <w:szCs w:val="21"/>
        </w:rPr>
        <w:t>岗位评议</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第十九条　研究所应定期组织导师的岗位评议，评议要有具体指标，明确标准。对导师的学术贡献和研究生培养业绩做出及时、公正、合理的评价，为导师的上岗、奖惩等提供客观依据，为建立招生指标的合理分配体系创造良好条件。</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第二十条　对于属于下列情况之一，经研究所学位评定委员会认定后，可酌情减招或暂停招生，直至取消上岗资格。</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（一）无明确且相对稳定的研究方向和可供学生作为学位论文课题的科研或科技开发任务的；</w:t>
      </w:r>
      <w:r w:rsidRPr="00B52014">
        <w:rPr>
          <w:rFonts w:ascii="Arial" w:eastAsia="宋体" w:hAnsi="Arial" w:cs="Arial"/>
          <w:color w:val="464646"/>
          <w:kern w:val="0"/>
          <w:szCs w:val="21"/>
        </w:rPr>
        <w:br/>
      </w:r>
      <w:r w:rsidRPr="00B52014">
        <w:rPr>
          <w:rFonts w:ascii="Arial" w:eastAsia="宋体" w:hAnsi="Arial" w:cs="Arial"/>
          <w:color w:val="464646"/>
          <w:kern w:val="0"/>
          <w:szCs w:val="21"/>
        </w:rPr>
        <w:t>（二）无足够的时间和精力指导学生的课程学习和论文工作的，或因健康原因不能坚持正常</w:t>
      </w:r>
      <w:r w:rsidRPr="00B52014">
        <w:rPr>
          <w:rFonts w:ascii="Arial" w:eastAsia="宋体" w:hAnsi="Arial" w:cs="Arial"/>
          <w:color w:val="464646"/>
          <w:kern w:val="0"/>
          <w:szCs w:val="21"/>
        </w:rPr>
        <w:lastRenderedPageBreak/>
        <w:t>教学和科研工作的；</w:t>
      </w:r>
      <w:r w:rsidRPr="00B52014">
        <w:rPr>
          <w:rFonts w:ascii="Arial" w:eastAsia="宋体" w:hAnsi="Arial" w:cs="Arial"/>
          <w:color w:val="464646"/>
          <w:kern w:val="0"/>
          <w:szCs w:val="21"/>
        </w:rPr>
        <w:br/>
      </w:r>
      <w:r w:rsidRPr="00B52014">
        <w:rPr>
          <w:rFonts w:ascii="Arial" w:eastAsia="宋体" w:hAnsi="Arial" w:cs="Arial"/>
          <w:color w:val="464646"/>
          <w:kern w:val="0"/>
          <w:szCs w:val="21"/>
        </w:rPr>
        <w:t>（三）所在专业或研究方向属社会需求不旺、连续两年学生就业遇到困难的；</w:t>
      </w:r>
      <w:r w:rsidRPr="00B52014">
        <w:rPr>
          <w:rFonts w:ascii="Arial" w:eastAsia="宋体" w:hAnsi="Arial" w:cs="Arial"/>
          <w:color w:val="464646"/>
          <w:kern w:val="0"/>
          <w:szCs w:val="21"/>
        </w:rPr>
        <w:br/>
      </w:r>
      <w:r w:rsidRPr="00B52014">
        <w:rPr>
          <w:rFonts w:ascii="Arial" w:eastAsia="宋体" w:hAnsi="Arial" w:cs="Arial"/>
          <w:color w:val="464646"/>
          <w:kern w:val="0"/>
          <w:szCs w:val="21"/>
        </w:rPr>
        <w:t>（四）在教学或指导学生的过程中行为不当或发生责任事故等的；</w:t>
      </w:r>
      <w:r w:rsidRPr="00B52014">
        <w:rPr>
          <w:rFonts w:ascii="Arial" w:eastAsia="宋体" w:hAnsi="Arial" w:cs="Arial"/>
          <w:color w:val="464646"/>
          <w:kern w:val="0"/>
          <w:szCs w:val="21"/>
        </w:rPr>
        <w:br/>
      </w:r>
      <w:r w:rsidRPr="00B52014">
        <w:rPr>
          <w:rFonts w:ascii="Arial" w:eastAsia="宋体" w:hAnsi="Arial" w:cs="Arial"/>
          <w:color w:val="464646"/>
          <w:kern w:val="0"/>
          <w:szCs w:val="21"/>
        </w:rPr>
        <w:t>（五）发现学术舞弊作伪行为的；</w:t>
      </w:r>
      <w:r w:rsidRPr="00B52014">
        <w:rPr>
          <w:rFonts w:ascii="Arial" w:eastAsia="宋体" w:hAnsi="Arial" w:cs="Arial"/>
          <w:color w:val="464646"/>
          <w:kern w:val="0"/>
          <w:szCs w:val="21"/>
        </w:rPr>
        <w:br/>
      </w:r>
      <w:r w:rsidRPr="00B52014">
        <w:rPr>
          <w:rFonts w:ascii="Arial" w:eastAsia="宋体" w:hAnsi="Arial" w:cs="Arial"/>
          <w:color w:val="464646"/>
          <w:kern w:val="0"/>
          <w:szCs w:val="21"/>
        </w:rPr>
        <w:t>（六）在研究生教育质量检查与评估中，发现有培养质量问题的；</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（七）在读学生数已经超过了本单位规定上限的；</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（八）其他不适合继续承担导师岗位职责的。</w:t>
      </w:r>
    </w:p>
    <w:p w:rsidR="00B52014" w:rsidRPr="00B52014" w:rsidRDefault="00B52014" w:rsidP="00B52014">
      <w:pPr>
        <w:widowControl/>
        <w:spacing w:line="375" w:lineRule="atLeast"/>
        <w:ind w:firstLine="420"/>
        <w:jc w:val="center"/>
        <w:rPr>
          <w:rFonts w:ascii="Arial" w:eastAsia="宋体" w:hAnsi="Arial" w:cs="Arial"/>
          <w:color w:val="464646"/>
          <w:kern w:val="0"/>
          <w:szCs w:val="21"/>
        </w:rPr>
      </w:pPr>
      <w:r w:rsidRPr="00B52014">
        <w:rPr>
          <w:rFonts w:ascii="Arial" w:eastAsia="宋体" w:hAnsi="Arial" w:cs="Arial"/>
          <w:color w:val="464646"/>
          <w:kern w:val="0"/>
          <w:szCs w:val="21"/>
        </w:rPr>
        <w:t>第六章</w:t>
      </w:r>
      <w:r w:rsidRPr="00B52014">
        <w:rPr>
          <w:rFonts w:ascii="Arial" w:eastAsia="宋体" w:hAnsi="Arial" w:cs="Arial"/>
          <w:color w:val="464646"/>
          <w:kern w:val="0"/>
          <w:szCs w:val="21"/>
        </w:rPr>
        <w:t> </w:t>
      </w:r>
      <w:r w:rsidRPr="00B52014">
        <w:rPr>
          <w:rFonts w:ascii="Arial" w:eastAsia="宋体" w:hAnsi="Arial" w:cs="Arial"/>
          <w:color w:val="464646"/>
          <w:kern w:val="0"/>
          <w:szCs w:val="21"/>
        </w:rPr>
        <w:t>附则</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第二十一条　各研究所可以根据学科发展的需要，在已有学位授予权的学科范围内，选聘少量具有丰富研究生培养经验的高水平专家、学者作为兼职研究生指导教师。兼职导师应履行导师职责，其选聘条件由各研究所按照本条例要求，具体制定。</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第二十二条</w:t>
      </w:r>
      <w:r w:rsidRPr="00B52014">
        <w:rPr>
          <w:rFonts w:ascii="Arial" w:eastAsia="宋体" w:hAnsi="Arial" w:cs="Arial"/>
          <w:color w:val="464646"/>
          <w:kern w:val="0"/>
          <w:szCs w:val="21"/>
        </w:rPr>
        <w:t> </w:t>
      </w:r>
      <w:r w:rsidRPr="00B52014">
        <w:rPr>
          <w:rFonts w:ascii="Arial" w:eastAsia="宋体" w:hAnsi="Arial" w:cs="Arial"/>
          <w:color w:val="464646"/>
          <w:kern w:val="0"/>
          <w:szCs w:val="21"/>
        </w:rPr>
        <w:t>各研究所学位评定委员会要根据本单位学科建设和研究生培养工作的实际，制定导师遴选与聘任的工作细则。</w:t>
      </w:r>
    </w:p>
    <w:p w:rsidR="00B52014" w:rsidRPr="00B52014" w:rsidRDefault="00B52014" w:rsidP="00B52014">
      <w:pPr>
        <w:widowControl/>
        <w:spacing w:line="375" w:lineRule="atLeast"/>
        <w:ind w:firstLine="420"/>
        <w:jc w:val="left"/>
        <w:rPr>
          <w:rFonts w:ascii="Arial" w:eastAsia="宋体" w:hAnsi="Arial" w:cs="Arial"/>
          <w:color w:val="464646"/>
          <w:kern w:val="0"/>
          <w:szCs w:val="21"/>
        </w:rPr>
      </w:pPr>
      <w:r w:rsidRPr="00B52014">
        <w:rPr>
          <w:rFonts w:ascii="Arial" w:eastAsia="宋体" w:hAnsi="Arial" w:cs="Arial"/>
          <w:color w:val="464646"/>
          <w:kern w:val="0"/>
          <w:szCs w:val="21"/>
        </w:rPr>
        <w:t>第二十三条　本条例自印发之日起施行，其解释权归属校学位评定委员会，由国科大培养处负责解释。原《中国科学院研究生院研究生指导教师工作条例》（院</w:t>
      </w:r>
      <w:proofErr w:type="gramStart"/>
      <w:r w:rsidRPr="00B52014">
        <w:rPr>
          <w:rFonts w:ascii="Arial" w:eastAsia="宋体" w:hAnsi="Arial" w:cs="Arial"/>
          <w:color w:val="464646"/>
          <w:kern w:val="0"/>
          <w:szCs w:val="21"/>
        </w:rPr>
        <w:t>发培字</w:t>
      </w:r>
      <w:proofErr w:type="gramEnd"/>
      <w:r w:rsidRPr="00B52014">
        <w:rPr>
          <w:rFonts w:ascii="Arial" w:eastAsia="宋体" w:hAnsi="Arial" w:cs="Arial"/>
          <w:color w:val="464646"/>
          <w:kern w:val="0"/>
          <w:szCs w:val="21"/>
        </w:rPr>
        <w:t>〔</w:t>
      </w:r>
      <w:r w:rsidRPr="00B52014">
        <w:rPr>
          <w:rFonts w:ascii="Arial" w:eastAsia="宋体" w:hAnsi="Arial" w:cs="Arial"/>
          <w:color w:val="464646"/>
          <w:kern w:val="0"/>
          <w:szCs w:val="21"/>
        </w:rPr>
        <w:t>2010</w:t>
      </w:r>
      <w:r w:rsidRPr="00B52014">
        <w:rPr>
          <w:rFonts w:ascii="Arial" w:eastAsia="宋体" w:hAnsi="Arial" w:cs="Arial"/>
          <w:color w:val="464646"/>
          <w:kern w:val="0"/>
          <w:szCs w:val="21"/>
        </w:rPr>
        <w:t>〕</w:t>
      </w:r>
      <w:r w:rsidRPr="00B52014">
        <w:rPr>
          <w:rFonts w:ascii="Arial" w:eastAsia="宋体" w:hAnsi="Arial" w:cs="Arial"/>
          <w:color w:val="464646"/>
          <w:kern w:val="0"/>
          <w:szCs w:val="21"/>
        </w:rPr>
        <w:t xml:space="preserve">96 </w:t>
      </w:r>
      <w:r w:rsidRPr="00B52014">
        <w:rPr>
          <w:rFonts w:ascii="Arial" w:eastAsia="宋体" w:hAnsi="Arial" w:cs="Arial"/>
          <w:color w:val="464646"/>
          <w:kern w:val="0"/>
          <w:szCs w:val="21"/>
        </w:rPr>
        <w:t>号）同时废止。</w:t>
      </w:r>
    </w:p>
    <w:p w:rsidR="00E96E04" w:rsidRPr="00B52014" w:rsidRDefault="00B52014"/>
    <w:sectPr w:rsidR="00E96E04" w:rsidRPr="00B52014" w:rsidSect="00F318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2014"/>
    <w:rsid w:val="00B52014"/>
    <w:rsid w:val="00BF4D1C"/>
    <w:rsid w:val="00CC6701"/>
    <w:rsid w:val="00F31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7265698">
      <w:bodyDiv w:val="1"/>
      <w:marLeft w:val="0"/>
      <w:marRight w:val="0"/>
      <w:marTop w:val="0"/>
      <w:marBottom w:val="0"/>
      <w:divBdr>
        <w:top w:val="none" w:sz="0" w:space="0" w:color="auto"/>
        <w:left w:val="none" w:sz="0" w:space="0" w:color="auto"/>
        <w:bottom w:val="none" w:sz="0" w:space="0" w:color="auto"/>
        <w:right w:val="none" w:sz="0" w:space="0" w:color="auto"/>
      </w:divBdr>
      <w:divsChild>
        <w:div w:id="68872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2152</Characters>
  <Application>Microsoft Office Word</Application>
  <DocSecurity>0</DocSecurity>
  <Lines>17</Lines>
  <Paragraphs>5</Paragraphs>
  <ScaleCrop>false</ScaleCrop>
  <Company>Lenovo</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孙鹏宇</dc:creator>
  <cp:lastModifiedBy>孙鹏宇</cp:lastModifiedBy>
  <cp:revision>1</cp:revision>
  <dcterms:created xsi:type="dcterms:W3CDTF">2014-11-13T08:51:00Z</dcterms:created>
  <dcterms:modified xsi:type="dcterms:W3CDTF">2014-11-13T08:52:00Z</dcterms:modified>
</cp:coreProperties>
</file>